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5C862" w14:textId="77777777" w:rsidR="008E76B8" w:rsidRDefault="008E76B8" w:rsidP="008E76B8">
      <w:pPr>
        <w:pStyle w:val="Heading2"/>
      </w:pPr>
      <w:r>
        <w:t xml:space="preserve">3.2. Aim 2: Does bS1 play a role in daptomycin- and vancomycin-sensitivity of </w:t>
      </w:r>
      <w:r>
        <w:rPr>
          <w:i/>
          <w:iCs/>
        </w:rPr>
        <w:t xml:space="preserve">Staphylococcus aureus </w:t>
      </w:r>
      <w:r>
        <w:t>through alterations in cell wall structure?</w:t>
      </w:r>
    </w:p>
    <w:p w14:paraId="2B254872" w14:textId="77777777" w:rsidR="008E76B8" w:rsidRDefault="008E76B8" w:rsidP="008E76B8">
      <w:pPr>
        <w:pStyle w:val="Heading3"/>
      </w:pPr>
      <w:r>
        <w:t>3.2.1. Rationale</w:t>
      </w:r>
    </w:p>
    <w:p w14:paraId="50590605" w14:textId="77777777" w:rsidR="008E76B8" w:rsidRPr="009E4BD0" w:rsidRDefault="008E76B8" w:rsidP="008E76B8">
      <w:pPr>
        <w:ind w:firstLine="720"/>
      </w:pPr>
      <w:r>
        <w:t xml:space="preserve">Clinical isolates with mutations in the single </w:t>
      </w:r>
      <w:proofErr w:type="spellStart"/>
      <w:r>
        <w:rPr>
          <w:i/>
          <w:iCs/>
        </w:rPr>
        <w:t>rpsU</w:t>
      </w:r>
      <w:proofErr w:type="spellEnd"/>
      <w:r>
        <w:t xml:space="preserve"> gene of </w:t>
      </w:r>
      <w:r>
        <w:rPr>
          <w:i/>
          <w:iCs/>
        </w:rPr>
        <w:t xml:space="preserve">S. </w:t>
      </w:r>
      <w:r w:rsidRPr="007670C7">
        <w:t>aureus</w:t>
      </w:r>
      <w:r>
        <w:t xml:space="preserve">, as well as transposon insertions into this gene, have been correlated </w:t>
      </w:r>
      <w:r w:rsidRPr="007670C7">
        <w:t>with</w:t>
      </w:r>
      <w:r>
        <w:t xml:space="preserve"> reduced susceptibility to daptomycin and vancomycin, two cell wall-targeting antibiotics (</w:t>
      </w:r>
      <w:proofErr w:type="spellStart"/>
      <w:r>
        <w:t>Basco</w:t>
      </w:r>
      <w:proofErr w:type="spellEnd"/>
      <w:r>
        <w:t xml:space="preserve"> </w:t>
      </w:r>
      <w:proofErr w:type="spellStart"/>
      <w:r>
        <w:t>kathari</w:t>
      </w:r>
      <w:proofErr w:type="spellEnd"/>
      <w:r>
        <w:t xml:space="preserve">, </w:t>
      </w:r>
      <w:proofErr w:type="spellStart"/>
      <w:r>
        <w:t>friedman</w:t>
      </w:r>
      <w:proofErr w:type="spellEnd"/>
      <w:r>
        <w:t xml:space="preserve"> alder, Blake </w:t>
      </w:r>
      <w:proofErr w:type="spellStart"/>
      <w:r>
        <w:t>oneill</w:t>
      </w:r>
      <w:proofErr w:type="spellEnd"/>
      <w:r>
        <w:t xml:space="preserve">). It has also been shown that cells with increased resistance to vancomycin have thickened cell walls (Cui et al 2006). This leads us to question whether bS21 plays a role in regulating expression of cell wall proteins, thereby affecting cell wall size and antibiotic-sensitivity. The following experiments will attempt to answer this, by deleting </w:t>
      </w:r>
      <w:proofErr w:type="spellStart"/>
      <w:r w:rsidRPr="009E4BD0">
        <w:rPr>
          <w:i/>
          <w:iCs/>
        </w:rPr>
        <w:t>rpsU</w:t>
      </w:r>
      <w:proofErr w:type="spellEnd"/>
      <w:r>
        <w:t xml:space="preserve"> in </w:t>
      </w:r>
      <w:r>
        <w:rPr>
          <w:i/>
          <w:iCs/>
        </w:rPr>
        <w:t xml:space="preserve">S. aureus, </w:t>
      </w:r>
      <w:r>
        <w:t>confirming alterations in antibiotic-sensitivity, and determining cell-wall thickness in this strain.</w:t>
      </w:r>
    </w:p>
    <w:p w14:paraId="0248C809" w14:textId="77777777" w:rsidR="008E76B8" w:rsidRPr="009049B4" w:rsidRDefault="008E76B8" w:rsidP="008E76B8">
      <w:pPr>
        <w:pStyle w:val="Heading3"/>
      </w:pPr>
      <w:r>
        <w:t xml:space="preserve">3.3.2. Deletion of </w:t>
      </w:r>
      <w:proofErr w:type="spellStart"/>
      <w:r>
        <w:rPr>
          <w:i w:val="0"/>
          <w:iCs/>
        </w:rPr>
        <w:t>rpsU</w:t>
      </w:r>
      <w:proofErr w:type="spellEnd"/>
    </w:p>
    <w:p w14:paraId="3D2EA90F" w14:textId="77777777" w:rsidR="008E76B8" w:rsidRDefault="008E76B8" w:rsidP="008E76B8">
      <w:r>
        <w:tab/>
        <w:t xml:space="preserve">We will first want to confirm the previously observed phenotype of vancomycin- and daptomycin-resistance by creating a clean deletion of </w:t>
      </w:r>
      <w:proofErr w:type="spellStart"/>
      <w:r>
        <w:rPr>
          <w:i/>
          <w:iCs/>
        </w:rPr>
        <w:t>rpsU</w:t>
      </w:r>
      <w:proofErr w:type="spellEnd"/>
      <w:r>
        <w:t xml:space="preserve"> in </w:t>
      </w:r>
      <w:r>
        <w:rPr>
          <w:i/>
          <w:iCs/>
        </w:rPr>
        <w:t xml:space="preserve">S. aureus. </w:t>
      </w:r>
      <w:r>
        <w:t xml:space="preserve">To do so, we will follow a protocol outlined in Kato and </w:t>
      </w:r>
      <w:proofErr w:type="spellStart"/>
      <w:r>
        <w:t>Sugai</w:t>
      </w:r>
      <w:proofErr w:type="spellEnd"/>
      <w:r>
        <w:t xml:space="preserve"> (2011). First, a plasmid will be constructed with approximately 600-base pairs upstream of the </w:t>
      </w:r>
      <w:proofErr w:type="spellStart"/>
      <w:r>
        <w:rPr>
          <w:i/>
          <w:iCs/>
        </w:rPr>
        <w:t>rpsU</w:t>
      </w:r>
      <w:proofErr w:type="spellEnd"/>
      <w:r>
        <w:t xml:space="preserve"> gene fused to 600-base pairs downstream of the </w:t>
      </w:r>
      <w:proofErr w:type="spellStart"/>
      <w:r>
        <w:rPr>
          <w:i/>
          <w:iCs/>
        </w:rPr>
        <w:t>rpsU</w:t>
      </w:r>
      <w:proofErr w:type="spellEnd"/>
      <w:r>
        <w:t xml:space="preserve"> gene. These fragments will be generated using PCR, digested with </w:t>
      </w:r>
      <w:proofErr w:type="spellStart"/>
      <w:r>
        <w:t>SalI</w:t>
      </w:r>
      <w:proofErr w:type="spellEnd"/>
      <w:r>
        <w:t xml:space="preserve"> and </w:t>
      </w:r>
      <w:proofErr w:type="spellStart"/>
      <w:r>
        <w:t>BamHI</w:t>
      </w:r>
      <w:proofErr w:type="spellEnd"/>
      <w:r>
        <w:t xml:space="preserve"> (NEB), and ligated into a similarly digested </w:t>
      </w:r>
      <w:proofErr w:type="spellStart"/>
      <w:r>
        <w:t>pKFT</w:t>
      </w:r>
      <w:proofErr w:type="spellEnd"/>
      <w:r>
        <w:t xml:space="preserve"> backbone. The backbone of the vector contains, in addition to a multiple cloning site, a fragment of </w:t>
      </w:r>
      <w:r>
        <w:rPr>
          <w:i/>
          <w:iCs/>
        </w:rPr>
        <w:t>lacZ</w:t>
      </w:r>
      <w:r>
        <w:t xml:space="preserve">, </w:t>
      </w:r>
      <w:proofErr w:type="spellStart"/>
      <w:r w:rsidRPr="00D53752">
        <w:rPr>
          <w:i/>
          <w:iCs/>
        </w:rPr>
        <w:t>ampR</w:t>
      </w:r>
      <w:proofErr w:type="spellEnd"/>
      <w:r w:rsidRPr="00D53752">
        <w:rPr>
          <w:i/>
          <w:iCs/>
        </w:rPr>
        <w:t xml:space="preserve">, </w:t>
      </w:r>
      <w:proofErr w:type="spellStart"/>
      <w:r w:rsidRPr="00D53752">
        <w:rPr>
          <w:i/>
          <w:iCs/>
        </w:rPr>
        <w:t>tetL</w:t>
      </w:r>
      <w:proofErr w:type="spellEnd"/>
      <w:r>
        <w:t>, a constitutive origin, and a temperature-sensitive origin. These markers will be crucial for selecting for colonies that contain the plasmid integration.</w:t>
      </w:r>
    </w:p>
    <w:p w14:paraId="4218693C" w14:textId="77777777" w:rsidR="008E76B8" w:rsidRPr="00CB5A5F" w:rsidRDefault="008E76B8" w:rsidP="008E76B8">
      <w:r>
        <w:tab/>
        <w:t xml:space="preserve">Once the vector has been generated, it will be transformed into </w:t>
      </w:r>
      <w:r>
        <w:rPr>
          <w:i/>
          <w:iCs/>
        </w:rPr>
        <w:t>S. aureus</w:t>
      </w:r>
      <w:r>
        <w:t xml:space="preserve"> RN4220 </w:t>
      </w:r>
      <w:r w:rsidRPr="00117B96">
        <w:rPr>
          <w:highlight w:val="yellow"/>
        </w:rPr>
        <w:t>(or E. coli xl-1 blue?)</w:t>
      </w:r>
      <w:r>
        <w:t xml:space="preserve"> and grown at 30</w:t>
      </w:r>
      <w:r>
        <w:rPr>
          <w:rFonts w:cs="Times New Roman"/>
        </w:rPr>
        <w:t>˚</w:t>
      </w:r>
      <w:r>
        <w:t xml:space="preserve">C on trypticase soy broth (TSB) plates with 3 </w:t>
      </w:r>
      <w:proofErr w:type="spellStart"/>
      <w:r>
        <w:rPr>
          <w:rFonts w:cs="Times New Roman"/>
        </w:rPr>
        <w:t>μ</w:t>
      </w:r>
      <w:r>
        <w:t>g</w:t>
      </w:r>
      <w:proofErr w:type="spellEnd"/>
      <w:r>
        <w:t xml:space="preserve">/mL of </w:t>
      </w:r>
      <w:r>
        <w:lastRenderedPageBreak/>
        <w:t>tetracycline for selection. Colonies will then be inoculated in 3 mL TSB with tetracycline and grown overnight at 30</w:t>
      </w:r>
      <w:r>
        <w:rPr>
          <w:rFonts w:cs="Times New Roman"/>
        </w:rPr>
        <w:t>˚</w:t>
      </w:r>
      <w:r>
        <w:t xml:space="preserve">C, shaking. The plasmid will be isolated using the </w:t>
      </w:r>
      <w:proofErr w:type="spellStart"/>
      <w:r>
        <w:t>QIAgen</w:t>
      </w:r>
      <w:proofErr w:type="spellEnd"/>
      <w:r>
        <w:t xml:space="preserve"> miniprep kit, and the contents of the plasmid will be confirmed via sequencing. Once confirmed, the plasmid will then be electroporated into </w:t>
      </w:r>
      <w:r>
        <w:rPr>
          <w:i/>
          <w:iCs/>
        </w:rPr>
        <w:t xml:space="preserve">S. aureus </w:t>
      </w:r>
      <w:r w:rsidRPr="00E35CDD">
        <w:rPr>
          <w:highlight w:val="yellow"/>
        </w:rPr>
        <w:t>HG003</w:t>
      </w:r>
      <w:r>
        <w:t>, incubating at 42</w:t>
      </w:r>
      <w:r>
        <w:rPr>
          <w:rFonts w:cs="Times New Roman"/>
        </w:rPr>
        <w:t>˚</w:t>
      </w:r>
      <w:r>
        <w:t>C on TSB plates with tetracycline, as this temperature is non-permissive and will lead to display of the tetracycline-resistance phenotype</w:t>
      </w:r>
      <w:r>
        <w:rPr>
          <w:i/>
          <w:iCs/>
        </w:rPr>
        <w:t>.</w:t>
      </w:r>
      <w:r>
        <w:t xml:space="preserve"> Colony PCR will be used to confirm that the plasmid integrated into the correct location, using primers located outside of the </w:t>
      </w:r>
      <w:proofErr w:type="spellStart"/>
      <w:r>
        <w:rPr>
          <w:i/>
          <w:iCs/>
        </w:rPr>
        <w:t>rpsU</w:t>
      </w:r>
      <w:proofErr w:type="spellEnd"/>
      <w:r>
        <w:t xml:space="preserve"> gene. Primary integrants will be grown shaking overnight at 25</w:t>
      </w:r>
      <w:r>
        <w:rPr>
          <w:rFonts w:cs="Times New Roman"/>
        </w:rPr>
        <w:t>˚</w:t>
      </w:r>
      <w:r>
        <w:t>C in TSB (no antibiotics), then sub-cultured into fresh TSB and grown up at 25</w:t>
      </w:r>
      <w:r>
        <w:rPr>
          <w:rFonts w:cs="Times New Roman"/>
        </w:rPr>
        <w:t>˚</w:t>
      </w:r>
      <w:r>
        <w:t xml:space="preserve">C again. This will facilitate crossing-out of the plasmid from the </w:t>
      </w:r>
      <w:r>
        <w:rPr>
          <w:i/>
          <w:iCs/>
        </w:rPr>
        <w:t xml:space="preserve">S. aureus </w:t>
      </w:r>
      <w:r>
        <w:t xml:space="preserve">genome. Cells will be plated both on TSB plates and TSB plates with tetracycline. Tet-sensitive colonies will be screened using PCR to confirm the deletion of </w:t>
      </w:r>
      <w:proofErr w:type="spellStart"/>
      <w:r>
        <w:rPr>
          <w:i/>
          <w:iCs/>
        </w:rPr>
        <w:t>rpsU</w:t>
      </w:r>
      <w:proofErr w:type="spellEnd"/>
      <w:r>
        <w:t xml:space="preserve"> and removal of the plasmid. The strain will then be sequenced for further confirmation and stored in TSB with 15% glycerol at -80</w:t>
      </w:r>
      <w:r>
        <w:rPr>
          <w:rFonts w:cs="Times New Roman"/>
        </w:rPr>
        <w:t>˚</w:t>
      </w:r>
      <w:r>
        <w:t>C.</w:t>
      </w:r>
    </w:p>
    <w:p w14:paraId="3D8A09E6" w14:textId="77777777" w:rsidR="008E76B8" w:rsidRDefault="008E76B8" w:rsidP="008E76B8">
      <w:pPr>
        <w:pStyle w:val="Heading3"/>
      </w:pPr>
      <w:r>
        <w:t xml:space="preserve">3.3.3. Population analysis of </w:t>
      </w:r>
      <w:r>
        <w:rPr>
          <w:i w:val="0"/>
          <w:iCs/>
        </w:rPr>
        <w:t xml:space="preserve">S. aureus </w:t>
      </w:r>
      <w:r>
        <w:t xml:space="preserve">antibiotic-resistance </w:t>
      </w:r>
    </w:p>
    <w:p w14:paraId="73AA93FE" w14:textId="77777777" w:rsidR="008E76B8" w:rsidRPr="00B70DD4" w:rsidRDefault="008E76B8" w:rsidP="008E76B8">
      <w:r>
        <w:tab/>
        <w:t xml:space="preserve">In order to confirm that alterations in vancomycin- and daptomycin-sensitivity are related to loss of bS21, we will use the </w:t>
      </w:r>
      <w:proofErr w:type="spellStart"/>
      <w:r w:rsidRPr="00885E5C">
        <w:rPr>
          <w:rFonts w:ascii="Calibri" w:hAnsi="Calibri" w:cs="Calibri"/>
          <w:i/>
          <w:iCs/>
        </w:rPr>
        <w:t>Δ</w:t>
      </w:r>
      <w:r w:rsidRPr="00885E5C">
        <w:rPr>
          <w:i/>
          <w:iCs/>
        </w:rPr>
        <w:t>rpsU</w:t>
      </w:r>
      <w:proofErr w:type="spellEnd"/>
      <w:r>
        <w:t xml:space="preserve"> strain to test susceptibility of the bacteria to each of these antibiotics. Using a protocol adapted from </w:t>
      </w:r>
      <w:proofErr w:type="spellStart"/>
      <w:r>
        <w:t>Hanaki</w:t>
      </w:r>
      <w:proofErr w:type="spellEnd"/>
      <w:r>
        <w:t xml:space="preserve"> and </w:t>
      </w:r>
      <w:proofErr w:type="spellStart"/>
      <w:r>
        <w:t>Hiramatsu</w:t>
      </w:r>
      <w:proofErr w:type="spellEnd"/>
      <w:r>
        <w:t xml:space="preserve"> (2001), we will first grow our wild-type and </w:t>
      </w:r>
      <w:proofErr w:type="spellStart"/>
      <w:r w:rsidRPr="00885E5C">
        <w:rPr>
          <w:rFonts w:ascii="Calibri" w:hAnsi="Calibri" w:cs="Calibri"/>
          <w:i/>
          <w:iCs/>
        </w:rPr>
        <w:t>Δ</w:t>
      </w:r>
      <w:r w:rsidRPr="00885E5C">
        <w:rPr>
          <w:i/>
          <w:iCs/>
        </w:rPr>
        <w:t>rpsU</w:t>
      </w:r>
      <w:proofErr w:type="spellEnd"/>
      <w:r>
        <w:t xml:space="preserve"> strains in TSB at 37</w:t>
      </w:r>
      <w:r>
        <w:rPr>
          <w:rFonts w:cs="Times New Roman"/>
        </w:rPr>
        <w:t>˚</w:t>
      </w:r>
      <w:r>
        <w:t>C, shaking overnight. The OD</w:t>
      </w:r>
      <w:r>
        <w:rPr>
          <w:vertAlign w:val="subscript"/>
        </w:rPr>
        <w:t>578</w:t>
      </w:r>
      <w:r>
        <w:t xml:space="preserve"> </w:t>
      </w:r>
      <w:r w:rsidRPr="00F53078">
        <w:rPr>
          <w:highlight w:val="yellow"/>
        </w:rPr>
        <w:t>(do you know why not 600?)</w:t>
      </w:r>
      <w:r>
        <w:t xml:space="preserve"> will be normalized to 0.3 to assure all plates start with the same number of colony-forming units (CFUs, approximately 10</w:t>
      </w:r>
      <w:r>
        <w:rPr>
          <w:vertAlign w:val="superscript"/>
        </w:rPr>
        <w:t>8</w:t>
      </w:r>
      <w:r>
        <w:t>). The cells will then be serially-diluted six times 1:10 in TSB, such that the lowest concentration will have approximately 10</w:t>
      </w:r>
      <w:r>
        <w:rPr>
          <w:vertAlign w:val="superscript"/>
        </w:rPr>
        <w:t>2</w:t>
      </w:r>
      <w:r>
        <w:t xml:space="preserve"> CFUs. Brain heart infusion (BHI) plates will be prepared with 1:2 serial-dilutions of each antibiotic. For vancomycin, the published minimum inhibitory concentration (MIC) of clinical isolates of MRSA</w:t>
      </w:r>
      <w:r>
        <w:rPr>
          <w:i/>
          <w:iCs/>
        </w:rPr>
        <w:t xml:space="preserve"> </w:t>
      </w:r>
      <w:r>
        <w:t xml:space="preserve">was </w:t>
      </w:r>
      <w:r>
        <w:lastRenderedPageBreak/>
        <w:t>approximately 0.625 </w:t>
      </w:r>
      <w:proofErr w:type="spellStart"/>
      <w:r>
        <w:rPr>
          <w:rFonts w:cs="Times New Roman"/>
        </w:rPr>
        <w:t>μ</w:t>
      </w:r>
      <w:r>
        <w:t>g</w:t>
      </w:r>
      <w:proofErr w:type="spellEnd"/>
      <w:r>
        <w:t xml:space="preserve">/mL, while the daptomycin MIC ranged from 0.156 to 0.219 </w:t>
      </w:r>
      <w:proofErr w:type="spellStart"/>
      <w:r>
        <w:rPr>
          <w:rFonts w:cs="Times New Roman"/>
        </w:rPr>
        <w:t>μ</w:t>
      </w:r>
      <w:r>
        <w:t>g</w:t>
      </w:r>
      <w:proofErr w:type="spellEnd"/>
      <w:r>
        <w:t>/mL (</w:t>
      </w:r>
      <w:proofErr w:type="spellStart"/>
      <w:r>
        <w:t>Sader</w:t>
      </w:r>
      <w:proofErr w:type="spellEnd"/>
      <w:r>
        <w:t xml:space="preserve"> et al). Therefore, we will prepare 8 serial dilutions starting at 10 </w:t>
      </w:r>
      <w:proofErr w:type="spellStart"/>
      <w:r>
        <w:rPr>
          <w:rFonts w:cs="Times New Roman"/>
        </w:rPr>
        <w:t>μ</w:t>
      </w:r>
      <w:r>
        <w:t>g</w:t>
      </w:r>
      <w:proofErr w:type="spellEnd"/>
      <w:r>
        <w:t xml:space="preserve">/mL, down to 0.078 </w:t>
      </w:r>
      <w:proofErr w:type="spellStart"/>
      <w:r>
        <w:rPr>
          <w:rFonts w:cs="Times New Roman"/>
        </w:rPr>
        <w:t>μ</w:t>
      </w:r>
      <w:r>
        <w:t>g</w:t>
      </w:r>
      <w:proofErr w:type="spellEnd"/>
      <w:r>
        <w:t xml:space="preserve">/mL for vancomycin, and starting at 5 </w:t>
      </w:r>
      <w:proofErr w:type="spellStart"/>
      <w:r>
        <w:rPr>
          <w:rFonts w:cs="Times New Roman"/>
        </w:rPr>
        <w:t>μ</w:t>
      </w:r>
      <w:r>
        <w:t>g</w:t>
      </w:r>
      <w:proofErr w:type="spellEnd"/>
      <w:r>
        <w:t xml:space="preserve">/mL down to 0.039 </w:t>
      </w:r>
      <w:proofErr w:type="spellStart"/>
      <w:r>
        <w:rPr>
          <w:rFonts w:cs="Times New Roman"/>
        </w:rPr>
        <w:t>μ</w:t>
      </w:r>
      <w:r>
        <w:t>g</w:t>
      </w:r>
      <w:proofErr w:type="spellEnd"/>
      <w:r>
        <w:t xml:space="preserve">/mL for daptomycin.  Because antibiotics will be incorporated into agar plates, the concentrations can easily be adjusted based on the results of the first assay, without the need for step-wise serial dilutions. For instance, we may find it is more informative to look at concentrations shifting by only 0.1 </w:t>
      </w:r>
      <w:proofErr w:type="spellStart"/>
      <w:r>
        <w:rPr>
          <w:rFonts w:cs="Times New Roman"/>
        </w:rPr>
        <w:t>μ</w:t>
      </w:r>
      <w:r>
        <w:t>g</w:t>
      </w:r>
      <w:proofErr w:type="spellEnd"/>
      <w:r>
        <w:t xml:space="preserve">/mL (i.e. 1 </w:t>
      </w:r>
      <w:proofErr w:type="spellStart"/>
      <w:r>
        <w:rPr>
          <w:rFonts w:cs="Times New Roman"/>
        </w:rPr>
        <w:t>μ</w:t>
      </w:r>
      <w:r>
        <w:t>g</w:t>
      </w:r>
      <w:proofErr w:type="spellEnd"/>
      <w:r>
        <w:t xml:space="preserve">/mL, 0.9 </w:t>
      </w:r>
      <w:proofErr w:type="spellStart"/>
      <w:r>
        <w:rPr>
          <w:rFonts w:cs="Times New Roman"/>
        </w:rPr>
        <w:t>μ</w:t>
      </w:r>
      <w:r>
        <w:t>g</w:t>
      </w:r>
      <w:proofErr w:type="spellEnd"/>
      <w:r>
        <w:t xml:space="preserve">/mL, 0.8 </w:t>
      </w:r>
      <w:proofErr w:type="spellStart"/>
      <w:r>
        <w:rPr>
          <w:rFonts w:cs="Times New Roman"/>
        </w:rPr>
        <w:t>μ</w:t>
      </w:r>
      <w:r>
        <w:t>g</w:t>
      </w:r>
      <w:proofErr w:type="spellEnd"/>
      <w:r>
        <w:t>/mL, and so on). Each dilution of cells will be sterilely spread onto plates of each antibiotic-concentration in triplicate. Plates with bacteria will then be left on the benchtop for 15 minutes to dry, thereby preventing patchy and unreliable growth. The plates will be incubated at 37</w:t>
      </w:r>
      <w:r>
        <w:rPr>
          <w:rFonts w:cs="Times New Roman"/>
        </w:rPr>
        <w:t>˚</w:t>
      </w:r>
      <w:r>
        <w:t xml:space="preserve">C for 48 hours before colonies are counted. MICs will then be determined by the concentration of antibiotic that resulted in no colonies. We expect, based on previous studies, that </w:t>
      </w:r>
      <w:proofErr w:type="spellStart"/>
      <w:r w:rsidRPr="00885E5C">
        <w:rPr>
          <w:rFonts w:ascii="Calibri" w:hAnsi="Calibri" w:cs="Calibri"/>
          <w:i/>
          <w:iCs/>
        </w:rPr>
        <w:t>Δ</w:t>
      </w:r>
      <w:r w:rsidRPr="00885E5C">
        <w:rPr>
          <w:i/>
          <w:iCs/>
        </w:rPr>
        <w:t>rpsU</w:t>
      </w:r>
      <w:proofErr w:type="spellEnd"/>
      <w:r>
        <w:rPr>
          <w:i/>
          <w:iCs/>
        </w:rPr>
        <w:t xml:space="preserve"> </w:t>
      </w:r>
      <w:r>
        <w:t xml:space="preserve">will have a higher MIC for both daptomycin and vancomycin when compared to wild-type </w:t>
      </w:r>
      <w:r>
        <w:rPr>
          <w:i/>
          <w:iCs/>
        </w:rPr>
        <w:t>S. aureus.</w:t>
      </w:r>
    </w:p>
    <w:p w14:paraId="71FC7680" w14:textId="77777777" w:rsidR="008E76B8" w:rsidRDefault="008E76B8" w:rsidP="008E76B8">
      <w:pPr>
        <w:pStyle w:val="Heading3"/>
      </w:pPr>
      <w:r>
        <w:t>3.3.4. Analysis of cell wall size</w:t>
      </w:r>
    </w:p>
    <w:p w14:paraId="7D5AF6D2" w14:textId="77777777" w:rsidR="008E76B8" w:rsidRDefault="008E76B8" w:rsidP="008E76B8">
      <w:r>
        <w:tab/>
        <w:t xml:space="preserve">Previous research has shown that </w:t>
      </w:r>
      <w:r>
        <w:rPr>
          <w:i/>
          <w:iCs/>
        </w:rPr>
        <w:t xml:space="preserve">S. aureus </w:t>
      </w:r>
      <w:r>
        <w:t xml:space="preserve">cells with increased resistance to vancomycin (vancomycin-intermediate </w:t>
      </w:r>
      <w:r>
        <w:rPr>
          <w:i/>
          <w:iCs/>
        </w:rPr>
        <w:t xml:space="preserve">S. aureus, </w:t>
      </w:r>
      <w:r>
        <w:t xml:space="preserve">or VISA) have thickened cell walls (Cui et al. 2006). In </w:t>
      </w:r>
      <w:r w:rsidRPr="0015638B">
        <w:t xml:space="preserve">order to test whether loss of </w:t>
      </w:r>
      <w:r>
        <w:t xml:space="preserve">bS21 </w:t>
      </w:r>
      <w:r w:rsidRPr="0015638B">
        <w:t>also results in a thickened</w:t>
      </w:r>
      <w:r>
        <w:t xml:space="preserve"> cell wall, we will use transmission electron microscopy (TEM) and prepare samples using a protocol adapted from </w:t>
      </w:r>
      <w:proofErr w:type="spellStart"/>
      <w:r>
        <w:t>Hanaki</w:t>
      </w:r>
      <w:proofErr w:type="spellEnd"/>
      <w:r>
        <w:t xml:space="preserve"> et al. (1998).  First, wild-type and </w:t>
      </w:r>
      <w:proofErr w:type="spellStart"/>
      <w:r w:rsidRPr="00885E5C">
        <w:rPr>
          <w:rFonts w:ascii="Calibri" w:hAnsi="Calibri" w:cs="Calibri"/>
          <w:i/>
          <w:iCs/>
        </w:rPr>
        <w:t>Δ</w:t>
      </w:r>
      <w:r w:rsidRPr="00885E5C">
        <w:rPr>
          <w:i/>
          <w:iCs/>
        </w:rPr>
        <w:t>rpsU</w:t>
      </w:r>
      <w:proofErr w:type="spellEnd"/>
      <w:r>
        <w:t xml:space="preserve"> cells will be grown in BHI to logarithmic phase at 37</w:t>
      </w:r>
      <w:r>
        <w:rPr>
          <w:rFonts w:cs="Times New Roman"/>
        </w:rPr>
        <w:t>˚</w:t>
      </w:r>
      <w:r>
        <w:t>C, shaking aerobically. The cells will be fixed by incubating for two hours in 2% glutaraldehyde in 0.1 M sodium phosphate buffer, pH 7.4. Samples will be stained by incubating for 2 hours at 4</w:t>
      </w:r>
      <w:r>
        <w:rPr>
          <w:rFonts w:cs="Times New Roman"/>
        </w:rPr>
        <w:t>˚</w:t>
      </w:r>
      <w:r>
        <w:t xml:space="preserve">C with 1% osmium tetroxide. The cells will be dehydrated with ethanol and embedded in resin with thin sections prepared. These will then be stained with uranyl acetate and lead citrate, before </w:t>
      </w:r>
      <w:r>
        <w:lastRenderedPageBreak/>
        <w:t>being analyzed under a transmission electron microscope (</w:t>
      </w:r>
      <w:proofErr w:type="spellStart"/>
      <w:r>
        <w:t>Hanaki</w:t>
      </w:r>
      <w:proofErr w:type="spellEnd"/>
      <w:r>
        <w:t xml:space="preserve"> et al 1998). The magnification will be set to x30,000 in order to measure cell wall thickness (Cui et al. 2006). We expect to find a thickened cell wall in </w:t>
      </w:r>
      <w:proofErr w:type="spellStart"/>
      <w:r w:rsidRPr="00885E5C">
        <w:rPr>
          <w:rFonts w:ascii="Calibri" w:hAnsi="Calibri" w:cs="Calibri"/>
          <w:i/>
          <w:iCs/>
        </w:rPr>
        <w:t>Δ</w:t>
      </w:r>
      <w:r w:rsidRPr="00885E5C">
        <w:rPr>
          <w:i/>
          <w:iCs/>
        </w:rPr>
        <w:t>rpsU</w:t>
      </w:r>
      <w:proofErr w:type="spellEnd"/>
      <w:r>
        <w:rPr>
          <w:i/>
          <w:iCs/>
        </w:rPr>
        <w:t xml:space="preserve"> </w:t>
      </w:r>
      <w:r>
        <w:t>compared to wild-type cells and hypothesize that this will correlate with increased vancomycin- and daptomycin-resistance.</w:t>
      </w:r>
    </w:p>
    <w:p w14:paraId="25BBCCE7" w14:textId="77777777" w:rsidR="008E76B8" w:rsidRDefault="008E76B8" w:rsidP="008E76B8">
      <w:pPr>
        <w:pStyle w:val="Heading1"/>
      </w:pPr>
      <w:r>
        <w:t>4. Resources required</w:t>
      </w:r>
    </w:p>
    <w:p w14:paraId="30B08213" w14:textId="77777777" w:rsidR="008E76B8" w:rsidRPr="009F429C" w:rsidRDefault="008E76B8" w:rsidP="008E76B8">
      <w:r>
        <w:tab/>
        <w:t>The majority of resources required for these sets of experiments will be provided by Kathryn Ramsey’s lab. Sequencing will be completed at the Rhode Island Genomics and Sequencing Center. Microscopy will be completed using resources from the Rhode Island Consortium for Nanoscience and Nanotechnology. Immunoblotting analyses will be completed at the Rhode Island INBRE core facility.</w:t>
      </w:r>
    </w:p>
    <w:p w14:paraId="3C5472A4" w14:textId="77777777" w:rsidR="0010588F" w:rsidRDefault="0010588F">
      <w:bookmarkStart w:id="0" w:name="_GoBack"/>
      <w:bookmarkEnd w:id="0"/>
    </w:p>
    <w:sectPr w:rsidR="001058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76B8"/>
    <w:rsid w:val="0010588F"/>
    <w:rsid w:val="008E76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B71EC"/>
  <w15:chartTrackingRefBased/>
  <w15:docId w15:val="{BE1501DA-6665-4A52-82FB-AC7D37141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E76B8"/>
    <w:pPr>
      <w:spacing w:line="480" w:lineRule="auto"/>
    </w:pPr>
    <w:rPr>
      <w:rFonts w:ascii="Times New Roman" w:hAnsi="Times New Roman"/>
      <w:sz w:val="24"/>
    </w:rPr>
  </w:style>
  <w:style w:type="paragraph" w:styleId="Heading1">
    <w:name w:val="heading 1"/>
    <w:basedOn w:val="Normal"/>
    <w:next w:val="Normal"/>
    <w:link w:val="Heading1Char"/>
    <w:uiPriority w:val="9"/>
    <w:qFormat/>
    <w:rsid w:val="008E76B8"/>
    <w:pPr>
      <w:keepNext/>
      <w:keepLines/>
      <w:spacing w:before="120" w:after="0" w:line="360" w:lineRule="auto"/>
      <w:outlineLvl w:val="0"/>
    </w:pPr>
    <w:rPr>
      <w:rFonts w:eastAsiaTheme="majorEastAsia" w:cstheme="majorBidi"/>
      <w:b/>
      <w:szCs w:val="32"/>
    </w:rPr>
  </w:style>
  <w:style w:type="paragraph" w:styleId="Heading2">
    <w:name w:val="heading 2"/>
    <w:basedOn w:val="Normal"/>
    <w:next w:val="Normal"/>
    <w:link w:val="Heading2Char"/>
    <w:uiPriority w:val="9"/>
    <w:unhideWhenUsed/>
    <w:qFormat/>
    <w:rsid w:val="008E76B8"/>
    <w:pPr>
      <w:keepNext/>
      <w:keepLines/>
      <w:spacing w:before="120" w:after="0" w:line="360" w:lineRule="auto"/>
      <w:outlineLvl w:val="1"/>
    </w:pPr>
    <w:rPr>
      <w:rFonts w:eastAsiaTheme="majorEastAsia" w:cstheme="majorBidi"/>
      <w:szCs w:val="26"/>
      <w:u w:val="single"/>
    </w:rPr>
  </w:style>
  <w:style w:type="paragraph" w:styleId="Heading3">
    <w:name w:val="heading 3"/>
    <w:basedOn w:val="Normal"/>
    <w:next w:val="Normal"/>
    <w:link w:val="Heading3Char"/>
    <w:uiPriority w:val="9"/>
    <w:unhideWhenUsed/>
    <w:qFormat/>
    <w:rsid w:val="008E76B8"/>
    <w:pPr>
      <w:keepNext/>
      <w:keepLines/>
      <w:spacing w:before="120" w:after="0" w:line="360" w:lineRule="auto"/>
      <w:outlineLvl w:val="2"/>
    </w:pPr>
    <w:rPr>
      <w:rFonts w:eastAsiaTheme="majorEastAsia" w:cstheme="majorBidi"/>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E76B8"/>
    <w:rPr>
      <w:rFonts w:ascii="Times New Roman" w:eastAsiaTheme="majorEastAsia" w:hAnsi="Times New Roman" w:cstheme="majorBidi"/>
      <w:b/>
      <w:sz w:val="24"/>
      <w:szCs w:val="32"/>
    </w:rPr>
  </w:style>
  <w:style w:type="character" w:customStyle="1" w:styleId="Heading2Char">
    <w:name w:val="Heading 2 Char"/>
    <w:basedOn w:val="DefaultParagraphFont"/>
    <w:link w:val="Heading2"/>
    <w:uiPriority w:val="9"/>
    <w:rsid w:val="008E76B8"/>
    <w:rPr>
      <w:rFonts w:ascii="Times New Roman" w:eastAsiaTheme="majorEastAsia" w:hAnsi="Times New Roman" w:cstheme="majorBidi"/>
      <w:sz w:val="24"/>
      <w:szCs w:val="26"/>
      <w:u w:val="single"/>
    </w:rPr>
  </w:style>
  <w:style w:type="character" w:customStyle="1" w:styleId="Heading3Char">
    <w:name w:val="Heading 3 Char"/>
    <w:basedOn w:val="DefaultParagraphFont"/>
    <w:link w:val="Heading3"/>
    <w:uiPriority w:val="9"/>
    <w:rsid w:val="008E76B8"/>
    <w:rPr>
      <w:rFonts w:ascii="Times New Roman" w:eastAsiaTheme="majorEastAsia" w:hAnsi="Times New Roman" w:cstheme="majorBidi"/>
      <w: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1004</Words>
  <Characters>5729</Characters>
  <Application>Microsoft Office Word</Application>
  <DocSecurity>0</DocSecurity>
  <Lines>47</Lines>
  <Paragraphs>13</Paragraphs>
  <ScaleCrop>false</ScaleCrop>
  <Company/>
  <LinksUpToDate>false</LinksUpToDate>
  <CharactersWithSpaces>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Hannah Trautmann</dc:creator>
  <cp:keywords/>
  <dc:description/>
  <cp:lastModifiedBy>Hannah Trautmann</cp:lastModifiedBy>
  <cp:revision>1</cp:revision>
  <dcterms:created xsi:type="dcterms:W3CDTF">2020-03-23T15:01:00Z</dcterms:created>
  <dcterms:modified xsi:type="dcterms:W3CDTF">2020-03-23T15:02:00Z</dcterms:modified>
</cp:coreProperties>
</file>